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559</w:t>
      </w:r>
    </w:p>
    <w:p>
      <w:r>
        <w:t>Bundesgericht (BGE), 1968-12-10, FR</w:t>
      </w:r>
    </w:p>
    <w:p>
      <w:r>
        <w:rPr>
          <w:b/>
        </w:rPr>
        <w:t xml:space="preserve">Quelle: </w:t>
      </w:r>
      <w:r>
        <w:t>https://mcp.opencaselaw.ch/entscheid/bge_94 I 559</w:t>
      </w:r>
    </w:p>
    <w:p>
      <w:r>
        <w:t>FR: ATF 94 I 559</w:t>
      </w:r>
    </w:p>
    <w:p>
      <w:r>
        <w:t>IT: DTF 94 I 559</w:t>
      </w:r>
    </w:p>
    <w:p>
      <w:pPr>
        <w:pStyle w:val="Heading2"/>
      </w:pPr>
      <w:r>
        <w:t>Regeste</w:t>
      </w:r>
    </w:p>
    <w:p>
      <w:r>
        <w:t>Regeste Handelsregister; nationale Bezeichnung in einer Firma; Art. 944 Abs. 2 OR, Art. 45 HRegV. Prüfungsbefugnis des Bundesgerichts (Erw. 1). Zulässigkeit des Zusatzes "Suisse" in der Firma eines Unternehmens, das die einer Muttergesellschaft mit Sitz in der Schweiz zustehenden Patente als Tochtergesellschaft in der Schweiz ausbeuten soll (Erw. 2 u. 3).</w:t>
      </w:r>
    </w:p>
    <w:p>
      <w:pPr>
        <w:pStyle w:val="Heading2"/>
      </w:pPr>
      <w:r>
        <w:t>Erwägungen</w:t>
      </w:r>
    </w:p>
    <w:p>
      <w:r>
        <w:rPr>
          <w:b/>
        </w:rPr>
        <w:t>E. 1</w:t>
      </w:r>
    </w:p>
    <w:p>
      <w:r>
        <w:t>Selon l'art. 45 ORC, édicté en application de l'art. 944 al. 2 CO, aucune désignation nationale ne doit figurer dans une raison de commerce. L'Office fédéral du registre du commerce peut autoriser exceptionnellement une dérogation à la règle lorsque des circonstances spéciales le justifient. Savoir si cette condition est réalisée est une question d'appréciation. Néanmoins, saisi d'un recours de droit administratif, le Tribunal fédéral revoit si l'office s'est référé à des critères objectivement déterminants et s'il n'a pas outrepassé les limites que le droit assigne à sa liberté d'appréciation (RO 93 I 563/564 consid. 2).</w:t>
      </w:r>
    </w:p>
    <w:p>
      <w:r>
        <w:rPr>
          <w:b/>
        </w:rPr>
        <w:t>E. 2</w:t>
      </w:r>
    </w:p>
    <w:p>
      <w:r>
        <w:t>L'introduction du mot "Suisse" dans la raison de la société à créer est un moyen adéquat de distinguer celle-ci de la maison mère et des filiales ayant leur siège à l'étranger. L'adjonction est véridique: la société aura son siège en Suisse, elle entend exercer son activité dans ce pays seulement et sur l'ensemble de son territoire, ses actionnaires, ses administrateurs BGE 94 I 559 S. 561 et ses capitaux seront suisses. On ne voit pas en quoi la raison proposée heurterait le sentiment national. Enfin, elle n'est pas de nature à donner une idée trompeuse de l'importance de l'entreprise: jointe à un élément distinctif par lui-même (Rotopark), la mention "Suisse" ne peut avoir qu'un caractère restrictif, à l'inverse des désignations nationales ajoutées à une indication générique de l'activité de l'entreprise (Schweizerische Wohnbaugenossenschaft - RO 92 I 303; Schweizerische Prospektzentrale - RO 82 I 40). Sans doute éveille-t-elle l'idée qu'il existe d'autres sociétés Rotopark à l'étranger. Mais le fait est exact. Les recourants ont ainsi un intérêt digne de protection à choisir la raison "Rotopark Suisse" et celle-ci n'est pas de nature à induire le public en erreur. Ce sont là des circonstances spéciales au sens de l'art. 45 al. 1 ORC. Conformément à la jurisprudence des arrêts AGIE (RO 92 I 293 ss., notamment 297) et I.F.F. (RO 92 I 298 ss.), l'autorisation requise doit être accordée. La disposition précitée a pour but de prévenir des abus. Or il n'y en a pas en l'espèce.</w:t>
      </w:r>
    </w:p>
    <w:p>
      <w:r>
        <w:rPr>
          <w:b/>
        </w:rPr>
        <w:t>E. 3</w:t>
      </w:r>
    </w:p>
    <w:p>
      <w:r>
        <w:t>L'Office fédéral ne discute pas les principes posés par ces deux arrêts. Il relève simplement que les recourants pourraient choisir des adjonctions distinctives sans élément national et que, parmi les filiales étrangères, une seule, Rotopark Iberica, a introduit dans sa raison une désignation nationale. Ces arguments ne sont pas décisifs. Le but de l'art. 45 ORC n'est pas de prohiber toute désignation nationale qui ne serait pas indispensable (RO 92 I 297). Sans doute le concern n'est-il qu'au début de son organisation et de son extension. Mais, vu l'art. 4 Cst., il n'y a pas de raison de privilégier les groupes puissants et bien établis. L'existence de trois autres sociétés Rotopark, dont la maison mère en Suisse, suffit pour que soient réunies les conditions posées par la jurisprudence, quand bien même la filiale suisse est la première à introduire dans sa raison une indication réellement nationale. Au demeurant, l'autorisation qu'il convient d'accorder peut toujours être révoquée s'il s'avère que la désignation nationale ne correspond plus à la situation (RO 82 I 40).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